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Чукотского автономного округа от 25.06.2010 N 197</w:t>
              <w:br/>
              <w:t xml:space="preserve">(ред. от 01.02.2023)</w:t>
              <w:br/>
              <w:t xml:space="preserve">"Об утверждении региональных минимальных социальных стандартов обеспечения населения Чукотского автономного округа общедоступными образовательными программами, образовательными программами в области культуры и искусства, и образовательными программами в области молодежной политики"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ЧУКОТСКОГО АВТОНОМНОГО ОКРУГА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2010 г. N 197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РЕГИОНАЛЬНЫХ МИНИМАЛЬНЫХ СОЦИАЛЬНЫХ</w:t>
      </w:r>
    </w:p>
    <w:p>
      <w:pPr>
        <w:pStyle w:val="2"/>
        <w:jc w:val="center"/>
      </w:pPr>
      <w:r>
        <w:rPr>
          <w:sz w:val="20"/>
        </w:rPr>
        <w:t xml:space="preserve">СТАНДАРТОВ ОБЕСПЕЧЕНИЯ НАСЕЛЕНИЯ ЧУКОТСКОГО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ОБЩЕДОСТУПНЫМИ ОБРАЗОВАТЕЛЬНЫМИ ПРОГРАММАМИ,</w:t>
      </w:r>
    </w:p>
    <w:p>
      <w:pPr>
        <w:pStyle w:val="2"/>
        <w:jc w:val="center"/>
      </w:pPr>
      <w:r>
        <w:rPr>
          <w:sz w:val="20"/>
        </w:rPr>
        <w:t xml:space="preserve">ОБРАЗОВАТЕЛЬНЫМИ ПРОГРАММАМИ В ОБЛАСТИ КУЛЬТУРЫ И ИСКУССТВА,</w:t>
      </w:r>
    </w:p>
    <w:p>
      <w:pPr>
        <w:pStyle w:val="2"/>
        <w:jc w:val="center"/>
      </w:pPr>
      <w:r>
        <w:rPr>
          <w:sz w:val="20"/>
        </w:rPr>
        <w:t xml:space="preserve">И ОБРАЗОВАТЕЛЬНЫМИ ПРОГРАММАМИ В ОБЛАСТИ МОЛОДЕЖНОЙ ПОЛИТИКИ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Чукотского автономного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02.03.2011 </w:t>
            </w:r>
            <w:hyperlink w:history="0" r:id="rId7" w:tooltip="Постановление Правительства Чукотского автономного округа от 02.03.2011 N 78 &quot;О внесении изменений в Постановление Правительства Чукотского автономного округа от 25 июня 2010 года N 197&quot; {КонсультантПлюс}">
              <w:r>
                <w:rPr>
                  <w:sz w:val="20"/>
                  <w:color w:val="0000ff"/>
                </w:rPr>
                <w:t xml:space="preserve">N 78</w:t>
              </w:r>
            </w:hyperlink>
            <w:r>
              <w:rPr>
                <w:sz w:val="20"/>
                <w:color w:val="392c69"/>
              </w:rPr>
              <w:t xml:space="preserve">, от 25.05.2011 </w:t>
            </w:r>
            <w:hyperlink w:history="0" r:id="rId8" w:tooltip="Постановление Правительства Чукотского автономного округа от 25.05.2011 N 215 &quot;О внесении изменения в постановление Правительства Чукотского автономного округа от 25 июня 2010 года N 197&quot; {КонсультантПлюс}">
              <w:r>
                <w:rPr>
                  <w:sz w:val="20"/>
                  <w:color w:val="0000ff"/>
                </w:rPr>
                <w:t xml:space="preserve">N 215</w:t>
              </w:r>
            </w:hyperlink>
            <w:r>
              <w:rPr>
                <w:sz w:val="20"/>
                <w:color w:val="392c69"/>
              </w:rPr>
              <w:t xml:space="preserve">, от 01.02.2023 </w:t>
            </w:r>
            <w:hyperlink w:history="0" r:id="rId9" w:tooltip="Постановление Правительства Чукотского автономного округа от 01.02.2023 N 51 &quot;О внесении изменений в постановление Правительства Чукотского автономного округа от 25 июня 2010 года N 197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Федерации", в целях обеспечения государственных гарантий в области получения образования, создания равных стартовых возможностей для обучающихся в образовательных учреждениях, входящих в Чукотский (надмуниципальный) образовательный округ, удовлетворения потребностей населения Чукотского автономного округа общедоступными образовательными программами и образовательными программами в области молодежной политики, во исполнение пункта 3 поручения Президента Российской Федерации по итогам заседания Государственного Совета Российской Федерации от 17 июля 2009 года N Пр-1994ГС, в рамках проведения мероприятий по повышению эффективности использования бюджетных средств Правительство Чукотского автономного округа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Чукотского автономного округа от 01.02.2023 N 51 &quot;О внесении изменений в постановление Правительства Чукотского автономного округа от 25 июня 2010 года N 1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Чукотского автономного округа от 01.02.2023 N 51)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региональные минимальные социальные </w:t>
      </w:r>
      <w:hyperlink w:history="0" w:anchor="P38" w:tooltip="РЕГИОНАЛЬНЫЕ МИНИМАЛЬНЫЕ СОЦИАЛЬНЫЕ СТАНДАРТЫ">
        <w:r>
          <w:rPr>
            <w:sz w:val="20"/>
            <w:color w:val="0000ff"/>
          </w:rPr>
          <w:t xml:space="preserve">стандарты</w:t>
        </w:r>
      </w:hyperlink>
      <w:r>
        <w:rPr>
          <w:sz w:val="20"/>
        </w:rPr>
        <w:t xml:space="preserve"> обеспечения населения Чукотского автономного округа общедоступными образовательными услугами", образовательными услугами в области культуры и искусства, и услугами в области молодежной политики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Чукотского автономного округа от 02.03.2011 N 78 &quot;О внесении изменений в Постановление Правительства Чукотского автономного округа от 25 июня 2010 года N 19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Чукотского автономного округа от 02.03.2011 N 78)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" w:tooltip="Постановление Правительства Чукотского автономного округа от 01.02.2023 N 51 &quot;О внесении изменений в постановление Правительства Чукотского автономного округа от 25 июня 2010 года N 197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Чукотского автономного округа от 01.02.2023 N 51 в пункте 2 слова "образовательными услугами, образовательными услугами в области культуры и искусства, и услугами в области молодежной политики" заменены словами "образовательными программами, образовательными программами в области культуры и искусства, и образовательными программами в области молодежной политики".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сентября 2010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Департамент образования и науки Чукотского автономного округа (Боленков А.Г.).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Чукотского автономного округа от 02.03.2011 </w:t>
      </w:r>
      <w:hyperlink w:history="0" r:id="rId14" w:tooltip="Постановление Правительства Чукотского автономного округа от 02.03.2011 N 78 &quot;О внесении изменений в Постановление Правительства Чукотского автономного округа от 25 июня 2010 года N 197&quot; {КонсультантПлюс}">
        <w:r>
          <w:rPr>
            <w:sz w:val="20"/>
            <w:color w:val="0000ff"/>
          </w:rPr>
          <w:t xml:space="preserve">N 78</w:t>
        </w:r>
      </w:hyperlink>
      <w:r>
        <w:rPr>
          <w:sz w:val="20"/>
        </w:rPr>
        <w:t xml:space="preserve">, от 01.02.2023 </w:t>
      </w:r>
      <w:hyperlink w:history="0" r:id="rId15" w:tooltip="Постановление Правительства Чукотского автономного округа от 01.02.2023 N 51 &quot;О внесении изменений в постановление Правительства Чукотского автономного округа от 25 июня 2010 года N 197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Р.В.КОПИН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Чукотского автономного округа</w:t>
      </w:r>
    </w:p>
    <w:p>
      <w:pPr>
        <w:pStyle w:val="0"/>
        <w:jc w:val="right"/>
      </w:pPr>
      <w:r>
        <w:rPr>
          <w:sz w:val="20"/>
        </w:rPr>
        <w:t xml:space="preserve">от 25 июня 2010 г. N 197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РЕГИОНАЛЬНЫЕ МИНИМАЛЬНЫЕ СОЦИАЛЬНЫЕ СТАНДАРТЫ</w:t>
      </w:r>
    </w:p>
    <w:p>
      <w:pPr>
        <w:pStyle w:val="2"/>
        <w:jc w:val="center"/>
      </w:pPr>
      <w:r>
        <w:rPr>
          <w:sz w:val="20"/>
        </w:rPr>
        <w:t xml:space="preserve">ОБЕСПЕЧЕНИЯ НАСЕЛЕНИЯ ЧУКОТСКОГО АВТОНОМНОГО ОКРУГА</w:t>
      </w:r>
    </w:p>
    <w:p>
      <w:pPr>
        <w:pStyle w:val="2"/>
        <w:jc w:val="center"/>
      </w:pPr>
      <w:r>
        <w:rPr>
          <w:sz w:val="20"/>
        </w:rPr>
        <w:t xml:space="preserve">ОБЩЕДОСТУПНЫМИ ОБРАЗОВАТЕЛЬНЫМИ ПРОГРАММАМИ,</w:t>
      </w:r>
    </w:p>
    <w:p>
      <w:pPr>
        <w:pStyle w:val="2"/>
        <w:jc w:val="center"/>
      </w:pPr>
      <w:r>
        <w:rPr>
          <w:sz w:val="20"/>
        </w:rPr>
        <w:t xml:space="preserve">ОБРАЗОВАТЕЛЬНЫМИ ПРОГРАММАМИ В ОБЛАСТИ КУЛЬТУРЫ И ИСКУССТВА,</w:t>
      </w:r>
    </w:p>
    <w:p>
      <w:pPr>
        <w:pStyle w:val="2"/>
        <w:jc w:val="center"/>
      </w:pPr>
      <w:r>
        <w:rPr>
          <w:sz w:val="20"/>
        </w:rPr>
        <w:t xml:space="preserve">И ОБРАЗОВАТЕЛЬНЫМИ ПРОГРАММАМИ В ОБЛАСТИ МОЛОДЕЖНОЙ ПОЛИТИКИ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Постановление Правительства Чукотского автономного округа от 01.02.2023 N 51 &quot;О внесении изменений в постановление Правительства Чукотского автономного округа от 25 июня 2010 года N 197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Чукотского автономного округа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01.02.2023 N 51)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1"/>
        <w:gridCol w:w="3271"/>
        <w:gridCol w:w="2126"/>
        <w:gridCol w:w="1866"/>
        <w:gridCol w:w="2041"/>
      </w:tblGrid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образовательных программ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социального норматива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Социальный норматив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общедоступными образовательными программами - программами дошкольного образования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образовательными программами дошкольного образования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(всего населения от 1,5 до 7 лет)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группы: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1,5 до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3 до 7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10 - 30 (в зависимости от площади групповых помещений)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разновозрастные группы (при наличии в группе детей любых трех возрастов)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10 - 30 (в зависимости от площади групповых помещений)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группы, реализующие адаптированные основные общеобразовательные программы: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нарушением речи: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слабослышащих детей: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до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нарушением опорно-двигательного аппарата: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до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слабовидящих детей, детей с косоглазием: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до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10 - 12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задержкой психического развития (нарушением интеллекта):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до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8 - 12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глубокой умственной отсталостью 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и более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иными отклонениями в развитии: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до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и более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возрасте старше 3 лет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и более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общедоступными образовательными программами - программами начального общего, основного общего, среднего общего образования: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образовательными программами начального общего, основного общего, среднего общего образования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(от общего числа учащихся общеобразовательных учреждений)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классы: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и более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более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12 - 16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менее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7 - 11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классы, реализующие адаптированные основные общеобразовательные программы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и 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в) вспомогательные классы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и 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4 - 12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г) классы, ведущие обучение всех предметов на родном чукотском, эскимосском, эвенском языке (поселок городского типа, поселок сельского типа)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 - комплектов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и более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д) обучение детей, нуждающихся в длительном лечении по основным общеобразовательным программам на дому или в медицинских организациях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специальных условий для получения образования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(от числа всех нуждающихся по медицинским показаниям)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е) подгруппы и классы предпрофильного и профильного обучения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и 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подгрупп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подгрупп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3 - 10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Группы продленного дня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услугами групп продленного дня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(от общего числа учащихся общеобразовательных учреждений)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группы: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более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менее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группы, реализующие адаптированные основные общеобразовательные программы: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12 - 16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10 - 14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более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8 - 12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менее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группы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6 - 10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общедоступными образовательными программами - программами начального общего, основного общего, среднего общего образования в очно-заочной или заочной форме: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классы: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более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типа, численностью менее 500 чел.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8 - 12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классы компенсирующего обучения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в) классы (группы) заочного обучения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г) обучение по индивидуальному учебному плану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адаптированных образовательных программ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(от числа всех нуждающихся по медицинским показаниям)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общедоступными образовательными программами - адаптированными основными общеобразовательными программами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Воспитанники с ограниченными возможностями здоровья (с нарушением интеллекта, задержкой психического развития)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классов,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дополнительных образовательных программ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учащихся услугами дополнительного образования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(от численности населения в возрасте от 6 до 18 лет)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городского типа, город, административный центр района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дополнительных образовательных программ спортивной подготовки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учащихся дополнительным образованием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(от численности населения в возрасте от 6 до 18 лет)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городского типа, город, административный центр района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программ профессиональной подготовки по профессиям рабочих, должностям служащих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10 - 25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образовательных программ среднего профессионального образования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группы, обучающиеся по программам подготовки квалифицированных рабочих, служащих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15 - 30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группы, обучающиеся по программам подготовки специалистов среднего звена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групп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государственных и муниципальных учреждений: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пункт проведения экзаменов (мониторинга качества обучения)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проведения ГИА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 (структурное подразделение)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в каждой общеобразовательной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пункт первичной обработки информации результатов государственной итоговой аттестации выпускников и баз данных системы образования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проведения ГИА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 (структурное подразделение)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в каждой общеобразовательной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централизованные бухгалтерии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деятельности образовательных организаций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 (структурное подразделение)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муниципальный район (городской округ)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психолого-медико-педагогические комиссии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 (структурное подразделение)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муниципальный район (городской округ)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окружных мероприятий по работе с детьми (олимпиады, конкурсы и другое)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учащихся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(от контингента учащихся образовательных учреждений)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муниципальных мероприятий по работе с детьми (олимпиады, конкурсы и другое)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учащихся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(от контингента учащихся образовательных учреждений)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государственных учреждений, реализующих массовые мероприятия в сфере молодежной политики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молодежной политики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2-х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муниципальных учреждений по месту жительства, реализующих массовые мероприятия в сфере молодежной политики: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и 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молодежной политики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 (структурное подразделение)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2-х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молодежной политики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 (структурное подразделение)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окружных мероприятий по работе с молодежью (олимпиады, конкурсы, смотры, игры, фестивали, конференции и другое)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молодежи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(от контингента молодежи округа)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муниципальных мероприятий по работе с молодежью (олимпиады, конкурсы, смотры, игры, фестивали, конференции и другое)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молодежи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(от контингента молодежи муниципального района (городского округа)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организации и функционировании молодежных общественных объединений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молодежи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(от контингента молодежи округа)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окружных мероприятий с детьми и молодежью по приобщению к занятиям физкультурой и спортом и формированию здорового образа жизни (зарядки, эстафеты, чемпионаты, спартакиады, кроссы, лыжные гонки, массовые катания, спортивные игры и другое)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учащихся, воспитанников и молодежи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(от контингента учащихся, воспитанников и молодежи округа)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муниципальных мероприятий с детьми и молодежью по приобщению к занятиям физкультурой и спортом и формированию здорового образа жизни (зарядки, эстафеты, чемпионаты, спартакиады, кроссы, лыжные гонки, массовые катания, спортивные игры и другое)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учащихся, воспитанников и молодежи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(от контингента учащихся, воспитанников и молодежи муниципального района (городского округа))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населения Чукотского автономного округа дополнительными образовательными программами - дополнительными профессиональными программами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дополнительными профессиональными программами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учреждение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округ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обучающихся общеобразовательных организаций дополнительными общеобразовательными программами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обучающихся дополнительными общеобразовательными программами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(от контингента обучающихся 1 - 9 классов общеобразовательных организаций муниципального района (городского округа)</w:t>
            </w:r>
          </w:p>
        </w:tc>
      </w:tr>
      <w:tr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воспитанников дошкольных образовательных организаций дополнительными общеобразовательными программами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воспитанников 5 - 7 лет дошкольных образовательных учреждений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(от контингента воспитанников 5 - 7 лет дошкольных образовательных учреждений муниципального района (городского округа)</w:t>
            </w:r>
          </w:p>
        </w:tc>
      </w:tr>
      <w:tr>
        <w:tc>
          <w:tcPr>
            <w:tcW w:w="8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Классы, реализующие дополнительные образовательные программы: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класса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10 - 25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административный центр района, поселок городского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класса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8 - 20</w:t>
            </w:r>
          </w:p>
        </w:tc>
      </w:tr>
      <w:tr>
        <w:tc>
          <w:tcPr>
            <w:vMerge w:val="continue"/>
          </w:tcPr>
          <w:p/>
        </w:tc>
        <w:tc>
          <w:tcPr>
            <w:tcW w:w="32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поселок сельского типа</w:t>
            </w:r>
          </w:p>
        </w:tc>
        <w:tc>
          <w:tcPr>
            <w:tcW w:w="2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 класса</w:t>
            </w:r>
          </w:p>
        </w:tc>
        <w:tc>
          <w:tcPr>
            <w:tcW w:w="1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Чукотского автономного округа от 25.06.2010 N 197</w:t>
            <w:br/>
            <w:t>(ред. от 01.02.2023)</w:t>
            <w:br/>
            <w:t>"Об утверждении регио...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42&amp;n=6567&amp;dst=100005" TargetMode = "External"/>
	<Relationship Id="rId8" Type="http://schemas.openxmlformats.org/officeDocument/2006/relationships/hyperlink" Target="https://login.consultant.ru/link/?req=doc&amp;base=RLAW442&amp;n=7015&amp;dst=100005" TargetMode = "External"/>
	<Relationship Id="rId9" Type="http://schemas.openxmlformats.org/officeDocument/2006/relationships/hyperlink" Target="https://login.consultant.ru/link/?req=doc&amp;base=RLAW442&amp;n=30218&amp;dst=100005" TargetMode = "External"/>
	<Relationship Id="rId10" Type="http://schemas.openxmlformats.org/officeDocument/2006/relationships/hyperlink" Target="https://login.consultant.ru/link/?req=doc&amp;base=LAW&amp;n=471106&amp;dst=100505" TargetMode = "External"/>
	<Relationship Id="rId11" Type="http://schemas.openxmlformats.org/officeDocument/2006/relationships/hyperlink" Target="https://login.consultant.ru/link/?req=doc&amp;base=RLAW442&amp;n=30218&amp;dst=100009" TargetMode = "External"/>
	<Relationship Id="rId12" Type="http://schemas.openxmlformats.org/officeDocument/2006/relationships/hyperlink" Target="https://login.consultant.ru/link/?req=doc&amp;base=RLAW442&amp;n=6567&amp;dst=100007" TargetMode = "External"/>
	<Relationship Id="rId13" Type="http://schemas.openxmlformats.org/officeDocument/2006/relationships/hyperlink" Target="https://login.consultant.ru/link/?req=doc&amp;base=RLAW442&amp;n=30218&amp;dst=100011" TargetMode = "External"/>
	<Relationship Id="rId14" Type="http://schemas.openxmlformats.org/officeDocument/2006/relationships/hyperlink" Target="https://login.consultant.ru/link/?req=doc&amp;base=RLAW442&amp;n=6567&amp;dst=100008" TargetMode = "External"/>
	<Relationship Id="rId15" Type="http://schemas.openxmlformats.org/officeDocument/2006/relationships/hyperlink" Target="https://login.consultant.ru/link/?req=doc&amp;base=RLAW442&amp;n=30218&amp;dst=100012" TargetMode = "External"/>
	<Relationship Id="rId16" Type="http://schemas.openxmlformats.org/officeDocument/2006/relationships/hyperlink" Target="https://login.consultant.ru/link/?req=doc&amp;base=RLAW442&amp;n=30218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Чукотского автономного округа от 25.06.2010 N 197
(ред. от 01.02.2023)
"Об утверждении региональных минимальных социальных стандартов обеспечения населения Чукотского автономного округа общедоступными образовательными программами, образовательными программами в области культуры и искусства, и образовательными программами в области молодежной политики"</dc:title>
  <dcterms:created xsi:type="dcterms:W3CDTF">2024-09-19T00:30:00Z</dcterms:created>
</cp:coreProperties>
</file>